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573D" w14:textId="2C49D18A" w:rsidR="008061B0" w:rsidRPr="00F21470" w:rsidRDefault="008061B0" w:rsidP="008061B0">
      <w:pPr>
        <w:pStyle w:val="Title"/>
      </w:pPr>
      <w:r w:rsidRPr="00F21470">
        <w:rPr>
          <w:rStyle w:val="IntenseQuoteChar"/>
          <w:i w:val="0"/>
          <w:iCs w:val="0"/>
          <w:color w:val="004F6B"/>
        </w:rPr>
        <w:t>Adult Social Care Citizen Panel Meeting Minutes</w:t>
      </w:r>
    </w:p>
    <w:p w14:paraId="43257DA7" w14:textId="77777777" w:rsidR="008061B0" w:rsidRPr="00F21470" w:rsidRDefault="008061B0" w:rsidP="008061B0">
      <w:r w:rsidRPr="00F21470">
        <w:t>Tuesday 19 August 2025</w:t>
      </w:r>
    </w:p>
    <w:p w14:paraId="105235E1" w14:textId="114F3EB1" w:rsidR="008061B0" w:rsidRPr="00F21470" w:rsidRDefault="008061B0" w:rsidP="008061B0">
      <w:r w:rsidRPr="00F21470">
        <w:t>Between 10:15 and 12 noon</w:t>
      </w:r>
    </w:p>
    <w:p w14:paraId="3CE9B3C8" w14:textId="2824CD0A" w:rsidR="008061B0" w:rsidRPr="00F21470" w:rsidRDefault="008061B0" w:rsidP="008061B0">
      <w:r w:rsidRPr="00F21470">
        <w:t>At West Wakefield Methodist Church</w:t>
      </w:r>
    </w:p>
    <w:p w14:paraId="6CA2DE97" w14:textId="26DAD013" w:rsidR="008061B0" w:rsidRPr="00F21470" w:rsidRDefault="008061B0" w:rsidP="008061B0">
      <w:pPr>
        <w:pStyle w:val="Heading1"/>
      </w:pPr>
      <w:r w:rsidRPr="00F21470">
        <w:rPr>
          <w:rStyle w:val="IntenseQuoteChar"/>
          <w:i w:val="0"/>
          <w:iCs w:val="0"/>
          <w:color w:val="004F6B"/>
        </w:rPr>
        <w:t>Welcome and Introductions</w:t>
      </w:r>
    </w:p>
    <w:p w14:paraId="3F422604" w14:textId="336D41C5" w:rsidR="008061B0" w:rsidRPr="00F21470" w:rsidRDefault="008061B0" w:rsidP="008061B0">
      <w:pPr>
        <w:pStyle w:val="Heading2"/>
      </w:pPr>
      <w:r w:rsidRPr="00F21470">
        <w:rPr>
          <w:rStyle w:val="IntenseQuoteChar"/>
          <w:i w:val="0"/>
          <w:iCs w:val="0"/>
          <w:color w:val="004F6B"/>
        </w:rPr>
        <w:t>Attendees</w:t>
      </w:r>
    </w:p>
    <w:p w14:paraId="67B9354D" w14:textId="18E041C1" w:rsidR="008061B0" w:rsidRPr="00F21470" w:rsidRDefault="008061B0" w:rsidP="008061B0">
      <w:r w:rsidRPr="00F21470">
        <w:t xml:space="preserve">Three panel members and three professionals attended in </w:t>
      </w:r>
      <w:r w:rsidR="00F21470" w:rsidRPr="00F21470">
        <w:t>person;</w:t>
      </w:r>
      <w:r w:rsidRPr="00F21470">
        <w:t xml:space="preserve"> three member</w:t>
      </w:r>
      <w:r w:rsidR="00F21470" w:rsidRPr="00F21470">
        <w:t>s</w:t>
      </w:r>
      <w:r w:rsidRPr="00F21470">
        <w:t xml:space="preserve"> dialled in online.</w:t>
      </w:r>
    </w:p>
    <w:p w14:paraId="473EC09C" w14:textId="77777777" w:rsidR="008061B0" w:rsidRPr="00F21470" w:rsidRDefault="008061B0" w:rsidP="008061B0">
      <w:r w:rsidRPr="00F21470">
        <w:t>Summer Herbert, Healthwatch Wakefield Research and Engagement Officer</w:t>
      </w:r>
    </w:p>
    <w:p w14:paraId="4D700141" w14:textId="4912D97A" w:rsidR="008061B0" w:rsidRPr="00F21470" w:rsidRDefault="008061B0" w:rsidP="008061B0">
      <w:r w:rsidRPr="00F21470">
        <w:t>Michelle Poucher, Wakefield Council Co-production and Engagement Lead</w:t>
      </w:r>
    </w:p>
    <w:p w14:paraId="5CECF99F" w14:textId="77777777" w:rsidR="008061B0" w:rsidRPr="00F21470" w:rsidRDefault="008061B0" w:rsidP="008061B0">
      <w:r w:rsidRPr="00F21470">
        <w:t>Lewis Smith-Connell, Healthwatch Wakefield Chief Officer</w:t>
      </w:r>
    </w:p>
    <w:p w14:paraId="0A312EE5" w14:textId="77777777" w:rsidR="008061B0" w:rsidRPr="00F21470" w:rsidRDefault="008061B0" w:rsidP="008061B0">
      <w:r w:rsidRPr="00F21470">
        <w:t>Becky Bartlett, Complete Care West Yorkshire Ltd Care Manager</w:t>
      </w:r>
    </w:p>
    <w:p w14:paraId="1BE0AA69" w14:textId="77777777" w:rsidR="008061B0" w:rsidRPr="00F21470" w:rsidRDefault="008061B0" w:rsidP="008061B0">
      <w:r w:rsidRPr="00F21470">
        <w:t>Neil Secretan, Wakefield Council Technology Enabled Care Team Manager</w:t>
      </w:r>
    </w:p>
    <w:p w14:paraId="14F63FDC" w14:textId="77777777" w:rsidR="008061B0" w:rsidRPr="00F21470" w:rsidRDefault="008061B0" w:rsidP="008061B0">
      <w:pPr>
        <w:pStyle w:val="Heading2"/>
      </w:pPr>
      <w:r w:rsidRPr="00F21470">
        <w:t>Introduction</w:t>
      </w:r>
    </w:p>
    <w:p w14:paraId="45FC99DD" w14:textId="732DE6AC" w:rsidR="008061B0" w:rsidRPr="00F21470" w:rsidRDefault="008061B0" w:rsidP="008061B0">
      <w:r w:rsidRPr="00F21470">
        <w:t>Summer announced that this is her final panel session and informs participants that Anne-Marie will take over in September. Anne-Marie is currently on annual leave but will be present in September to discuss future plans for the panel and creative sessions.</w:t>
      </w:r>
    </w:p>
    <w:p w14:paraId="6270F23B" w14:textId="77777777" w:rsidR="008061B0" w:rsidRPr="00F21470" w:rsidRDefault="008061B0" w:rsidP="008061B0">
      <w:pPr>
        <w:pStyle w:val="Heading1"/>
      </w:pPr>
      <w:r w:rsidRPr="00F21470">
        <w:t>Technology Enabled Care</w:t>
      </w:r>
    </w:p>
    <w:p w14:paraId="2209A29E" w14:textId="77777777" w:rsidR="008061B0" w:rsidRPr="00F21470" w:rsidRDefault="008061B0" w:rsidP="008061B0">
      <w:pPr>
        <w:pStyle w:val="Heading4"/>
        <w:rPr>
          <w:rStyle w:val="IntenseQuoteChar"/>
          <w:i w:val="0"/>
          <w:iCs w:val="0"/>
          <w:color w:val="004F6B"/>
        </w:rPr>
      </w:pPr>
      <w:r w:rsidRPr="00F21470">
        <w:rPr>
          <w:rStyle w:val="IntenseQuoteChar"/>
          <w:i w:val="0"/>
          <w:iCs w:val="0"/>
          <w:color w:val="004F6B"/>
        </w:rPr>
        <w:t>Neil Secretan</w:t>
      </w:r>
    </w:p>
    <w:p w14:paraId="66B0516D" w14:textId="77777777" w:rsidR="008061B0" w:rsidRPr="00F21470" w:rsidRDefault="008061B0" w:rsidP="008061B0">
      <w:pPr>
        <w:pStyle w:val="Heading3"/>
        <w:rPr>
          <w:rStyle w:val="IntenseQuoteChar"/>
          <w:i w:val="0"/>
          <w:iCs w:val="0"/>
          <w:color w:val="004F6B"/>
        </w:rPr>
      </w:pPr>
      <w:r w:rsidRPr="00F21470">
        <w:rPr>
          <w:rStyle w:val="IntenseQuoteChar"/>
          <w:i w:val="0"/>
          <w:iCs w:val="0"/>
          <w:color w:val="004F6B"/>
        </w:rPr>
        <w:t>Digital Transformation in Social Care Services</w:t>
      </w:r>
    </w:p>
    <w:p w14:paraId="1530AE1F" w14:textId="42F7597B" w:rsidR="008061B0" w:rsidRPr="00F21470" w:rsidRDefault="008061B0" w:rsidP="00F21470">
      <w:pPr>
        <w:pStyle w:val="Heading5"/>
        <w:rPr>
          <w:rStyle w:val="IntenseQuoteChar"/>
          <w:i w:val="0"/>
          <w:iCs w:val="0"/>
          <w:color w:val="004F6B"/>
        </w:rPr>
      </w:pPr>
      <w:r w:rsidRPr="00F21470">
        <w:rPr>
          <w:rStyle w:val="IntenseQuoteChar"/>
          <w:i w:val="0"/>
          <w:iCs w:val="0"/>
          <w:color w:val="004F6B"/>
        </w:rPr>
        <w:t>Digital Migration and Market Evolution in Social Care</w:t>
      </w:r>
    </w:p>
    <w:p w14:paraId="0794A7D8" w14:textId="77777777" w:rsidR="008061B0" w:rsidRPr="00F21470" w:rsidRDefault="008061B0" w:rsidP="008061B0">
      <w:r w:rsidRPr="00F21470">
        <w:t>The discussion highlights that the social care sector has historically lacked digital options. A mandatory switch from analogue to digital services, announced in 2017, is required by January 2027. This transition, driven by communication providers, has led to monitoring centres moving from analogue to digital. This shift has created a rapidly evolving and immature digital market for social care solutions, with a significant influx of new suppliers. All local authority care services are now moving to digital.</w:t>
      </w:r>
    </w:p>
    <w:p w14:paraId="7501B9A3" w14:textId="2630AD69" w:rsidR="008061B0" w:rsidRPr="00F21470" w:rsidRDefault="008061B0" w:rsidP="00F21470">
      <w:pPr>
        <w:pStyle w:val="Heading5"/>
      </w:pPr>
      <w:r w:rsidRPr="00F21470">
        <w:t>Impact of Technology Awareness and Referral Increase</w:t>
      </w:r>
    </w:p>
    <w:p w14:paraId="5E3BA137" w14:textId="77777777" w:rsidR="008061B0" w:rsidRPr="00F21470" w:rsidRDefault="008061B0" w:rsidP="008061B0">
      <w:r w:rsidRPr="00F21470">
        <w:t>Following senior leadership support and investment in 2022, the team, fully resourced with four members in February of that year, focused on raising awareness among practitioners. A mandatory technology awareness course was implemented for social workers in Wakefield, with over 700 individuals completing it. This initiative has been well-received and has significantly increased referral rates, from 604 in the fall of 2022 to a projected 1,600 by the end of the year.</w:t>
      </w:r>
    </w:p>
    <w:p w14:paraId="3E87778B" w14:textId="77777777" w:rsidR="00F21470" w:rsidRPr="00F21470" w:rsidRDefault="00F21470" w:rsidP="008061B0"/>
    <w:p w14:paraId="5B754D7F" w14:textId="77777777" w:rsidR="00F21470" w:rsidRPr="00F21470" w:rsidRDefault="00F21470" w:rsidP="008061B0"/>
    <w:p w14:paraId="3A015382" w14:textId="347953EF" w:rsidR="008061B0" w:rsidRPr="00F21470" w:rsidRDefault="008061B0" w:rsidP="00F21470">
      <w:pPr>
        <w:pStyle w:val="Heading5"/>
      </w:pPr>
      <w:r w:rsidRPr="00F21470">
        <w:lastRenderedPageBreak/>
        <w:t>Smart Devices and Digital Tools for Personal and Preventative Care</w:t>
      </w:r>
    </w:p>
    <w:p w14:paraId="317BCF5A" w14:textId="1C0E0002" w:rsidR="008061B0" w:rsidRPr="00F21470" w:rsidRDefault="008061B0" w:rsidP="008061B0">
      <w:r w:rsidRPr="00F21470">
        <w:t>The discussion covered a wide range of digital solutions, including traditional pendants linked to units, falls watches, and GPS locators. Smartwatches with two-way voice capability and alert buttons can send notifications to call centres or loved ones via an app, providing location data. Sensor systems, such as Canary Care, are used for home monitoring, detecting movement, and monitoring door contacts (including fridge doors), and bathroom plug care options to assess personal care adherence. These tools aim to enhance immediate response, support preventative measures, and enable individuals to live independently by painting a comprehensive picture for care package determination.</w:t>
      </w:r>
    </w:p>
    <w:p w14:paraId="104E1522" w14:textId="77777777" w:rsidR="008061B0" w:rsidRPr="00F21470" w:rsidRDefault="008061B0" w:rsidP="00F21470">
      <w:pPr>
        <w:pStyle w:val="Heading5"/>
      </w:pPr>
      <w:r w:rsidRPr="00F21470">
        <w:t>Integration of Smart Home Technology in Clinical Discharge and Care</w:t>
      </w:r>
    </w:p>
    <w:p w14:paraId="1E8D76B8" w14:textId="77777777" w:rsidR="008061B0" w:rsidRPr="00F21470" w:rsidRDefault="008061B0" w:rsidP="008061B0">
      <w:r w:rsidRPr="00F21470">
        <w:t>The meeting examined the use of smart home technology, including sensor-based monitoring and specialised devices like talking tiles, which can be used to control lights and blinds, as demonstrated by an example of a lady in a wheelchair gaining dignity and control. These technologies are crucial for improving patient safety during hospital discharge and at home. This approach supports both reactive and preventative care models for vulnerable groups, helping to determine if someone can live independently.</w:t>
      </w:r>
    </w:p>
    <w:p w14:paraId="6EB21CE4" w14:textId="77777777" w:rsidR="008061B0" w:rsidRPr="00F21470" w:rsidRDefault="008061B0" w:rsidP="008061B0">
      <w:pPr>
        <w:pStyle w:val="Heading4"/>
      </w:pPr>
      <w:r w:rsidRPr="00F21470">
        <w:t>Telecare Digital Transformation and Integration in Health and Social Care</w:t>
      </w:r>
    </w:p>
    <w:p w14:paraId="420B5682" w14:textId="428E3C11" w:rsidR="008061B0" w:rsidRPr="00F21470" w:rsidRDefault="008061B0" w:rsidP="00F21470">
      <w:pPr>
        <w:pStyle w:val="Heading5"/>
      </w:pPr>
      <w:r w:rsidRPr="00F21470">
        <w:t>Digital Telecare Devices and Routines</w:t>
      </w:r>
    </w:p>
    <w:p w14:paraId="4802807C" w14:textId="77777777" w:rsidR="008061B0" w:rsidRPr="00F21470" w:rsidRDefault="008061B0" w:rsidP="008061B0">
      <w:r w:rsidRPr="00F21470">
        <w:t>Various digital devices were discussed, including the Amazon Echo, smartwatches, the Dementia Clock, and Canary Care tools. These devices aim to reduce social isolation and exclusion, promote routine health reminders (e.g., medication reminders), and provide lifestyle monitoring by capturing data such as pulse rate and steps. The goal is to empower users and their families with actionable data for decision-making, for instance, by simplifying complex data into clear calls to action like "You need to hydrate and have some nutrition earlier." A hydration cup that reminds users to drink was also mentioned as a simple tool.</w:t>
      </w:r>
    </w:p>
    <w:p w14:paraId="00E5FD57" w14:textId="77777777" w:rsidR="008061B0" w:rsidRPr="00F21470" w:rsidRDefault="008061B0" w:rsidP="00F21470">
      <w:pPr>
        <w:pStyle w:val="Heading5"/>
      </w:pPr>
      <w:r w:rsidRPr="00F21470">
        <w:t>Battery and Power Supply Issues</w:t>
      </w:r>
    </w:p>
    <w:p w14:paraId="1234B0A6" w14:textId="77777777" w:rsidR="008061B0" w:rsidRPr="00F21470" w:rsidRDefault="008061B0" w:rsidP="008061B0">
      <w:r w:rsidRPr="00F21470">
        <w:t>Significant concerns were raised regarding the dependency on power supply, particularly as many surgeries across Wakefield lack emergency backup power, relying instead on mobile phones during outages. Devices with batteries send a warning to the alert receiving centre when battery life drops to 33%. The Telecare Services Association (TSA) mandates that devices have their own batteries, typically lasting 24-48 hours, though some require daily charging. Alert Receiving Centres (ARCs) themselves maintain robust infrastructure with 24/7 power supply and generators. However, the broader digital switchover poses a risk if main corporate power fails, as some digital services rely on broadband, which may not have battery backup.</w:t>
      </w:r>
    </w:p>
    <w:p w14:paraId="0F3BD273" w14:textId="65A31E62" w:rsidR="008061B0" w:rsidRPr="00F21470" w:rsidRDefault="008061B0" w:rsidP="00F21470">
      <w:pPr>
        <w:pStyle w:val="Heading5"/>
        <w:rPr>
          <w:rStyle w:val="IntenseQuoteChar"/>
          <w:i w:val="0"/>
          <w:iCs w:val="0"/>
          <w:color w:val="004F6B"/>
        </w:rPr>
      </w:pPr>
      <w:r w:rsidRPr="00F21470">
        <w:rPr>
          <w:rStyle w:val="IntenseQuoteChar"/>
          <w:i w:val="0"/>
          <w:iCs w:val="0"/>
          <w:color w:val="004F6B"/>
        </w:rPr>
        <w:t>Cost and Loan Facility for Devices</w:t>
      </w:r>
    </w:p>
    <w:p w14:paraId="05054AC1" w14:textId="77777777" w:rsidR="008061B0" w:rsidRPr="00F21470" w:rsidRDefault="008061B0" w:rsidP="008061B0">
      <w:r w:rsidRPr="00F21470">
        <w:t>It was clarified that there is no cost to the patient or service user for receiving the equipment, as all devices are issued on a loan basis. However, questions arose regarding accountability for lost items. While payment might generally be expected in such cases, the speaker indicated that for Wakefield, they are "just with it" when devices are lost by individuals with dementia, implying they do not pursue payment, contrasting with practices observed in other areas like Barnsley.</w:t>
      </w:r>
    </w:p>
    <w:p w14:paraId="1107CD7D" w14:textId="77777777" w:rsidR="00F21470" w:rsidRPr="00F21470" w:rsidRDefault="00F21470" w:rsidP="008061B0"/>
    <w:p w14:paraId="33EC1361" w14:textId="5AA2408D" w:rsidR="008061B0" w:rsidRPr="00F21470" w:rsidRDefault="008061B0" w:rsidP="00F21470">
      <w:pPr>
        <w:pStyle w:val="Heading5"/>
      </w:pPr>
      <w:r w:rsidRPr="00F21470">
        <w:lastRenderedPageBreak/>
        <w:t>Integration with Social Work and Hospital Promotion</w:t>
      </w:r>
    </w:p>
    <w:p w14:paraId="02B04942" w14:textId="77777777" w:rsidR="008061B0" w:rsidRPr="00F21470" w:rsidRDefault="008061B0" w:rsidP="008061B0">
      <w:r w:rsidRPr="00F21470">
        <w:t>A significant issue identified was the lack of consistent telecare promotion within hospital settings. Participants noted that devices and services are not consistently promoted on hospital wards, leading to situations where clients remain in hospital for weeks without a social worker assessment, which is supposed to occur within three days. This often falls to providers or family members to suggest. The need for more integrated roles, potentially co-locating staff, between health, social care, and telecare promotion was highlighted, drawing a comparison to Suffolk Council's more effective approach.</w:t>
      </w:r>
    </w:p>
    <w:p w14:paraId="04D4EDC9" w14:textId="1D93554A" w:rsidR="008061B0" w:rsidRPr="00F21470" w:rsidRDefault="008061B0" w:rsidP="00F21470">
      <w:pPr>
        <w:pStyle w:val="Heading5"/>
      </w:pPr>
      <w:r w:rsidRPr="00F21470">
        <w:t>Consent and Data Sharing</w:t>
      </w:r>
    </w:p>
    <w:p w14:paraId="77B2F2C3" w14:textId="77777777" w:rsidR="008061B0" w:rsidRPr="00F21470" w:rsidRDefault="008061B0" w:rsidP="008061B0">
      <w:r w:rsidRPr="00F21470">
        <w:t>The discussion addressed the responsibilities for obtaining consent and managing data sharing. It was confirmed that social workers are responsible for gathering consent, often through joint visits and involving family members. The importance of ensuring individuals understand how their data is captured was stressed, particularly concerning privacy challenges with GPS tracking, which allows families to track users. The approach prioritises simplicity and clarity in consent processes.</w:t>
      </w:r>
    </w:p>
    <w:p w14:paraId="609B560E" w14:textId="383BB939" w:rsidR="008061B0" w:rsidRPr="00F21470" w:rsidRDefault="008061B0" w:rsidP="00F21470">
      <w:pPr>
        <w:pStyle w:val="Heading5"/>
      </w:pPr>
      <w:r w:rsidRPr="00F21470">
        <w:t>User Acceptance and Independence</w:t>
      </w:r>
    </w:p>
    <w:p w14:paraId="4241509F" w14:textId="77777777" w:rsidR="008061B0" w:rsidRPr="00F21470" w:rsidRDefault="008061B0" w:rsidP="008061B0">
      <w:r w:rsidRPr="00F21470">
        <w:t>Concerns were expressed about technology potentially intruding on users' independence, with some feeling uncomfortable with constant monitoring by devices like smartwatches. The discussion highlighted that some individuals resist technology, preferring not to have an increased care package. The team aims for simplicity in device design, such as simple push-button interfaces and hydration cups, to encourage usage without compromising independence. However, it was acknowledged that some individuals cannot be convinced, and their decisions must be respected, even if it means they don't receive the benefits of the technology. An example of a Ring doorbell being perceived as an intrusion on civil liberties was also shared.</w:t>
      </w:r>
    </w:p>
    <w:p w14:paraId="544EE7B5" w14:textId="663D822B" w:rsidR="008061B0" w:rsidRPr="00F21470" w:rsidRDefault="008061B0" w:rsidP="00F21470">
      <w:pPr>
        <w:pStyle w:val="Heading5"/>
      </w:pPr>
      <w:r w:rsidRPr="00F21470">
        <w:t>Follow-up and Data Accuracy</w:t>
      </w:r>
    </w:p>
    <w:p w14:paraId="721BDDFF" w14:textId="77777777" w:rsidR="008061B0" w:rsidRPr="00F21470" w:rsidRDefault="008061B0" w:rsidP="008061B0">
      <w:r w:rsidRPr="00F21470">
        <w:t>Strong criticism was raised regarding the lack of consistent follow-up by social services and perceived misinformation or lack of accurate statistics. A participant shared a personal experience of receiving a letter from Wakefield Council in 1980 about being on a chronically sick and disabled register and being assigned a social worker, but having no contact from social services for decades until a recent referral. Frustration was also expressed about the inability to obtain statistics on how many people are not receiving help because they are unwilling to provide personal banking information, highlighting a systemic gap in care continuity and data capture.</w:t>
      </w:r>
    </w:p>
    <w:p w14:paraId="22B2D9FE" w14:textId="77777777" w:rsidR="008061B0" w:rsidRPr="00F21470" w:rsidRDefault="008061B0" w:rsidP="008061B0">
      <w:pPr>
        <w:pStyle w:val="Heading1"/>
      </w:pPr>
      <w:r w:rsidRPr="00F21470">
        <w:t>Social Care Digital Technology and Security Discussion</w:t>
      </w:r>
    </w:p>
    <w:p w14:paraId="4261A078" w14:textId="77777777" w:rsidR="008061B0" w:rsidRPr="00F21470" w:rsidRDefault="008061B0" w:rsidP="00F21470">
      <w:pPr>
        <w:pStyle w:val="Heading5"/>
      </w:pPr>
      <w:r w:rsidRPr="00F21470">
        <w:t xml:space="preserve">Social Care Duty and Resource Allocation </w:t>
      </w:r>
    </w:p>
    <w:p w14:paraId="3655E21A" w14:textId="77777777" w:rsidR="008061B0" w:rsidRPr="00F21470" w:rsidRDefault="008061B0" w:rsidP="008061B0">
      <w:r w:rsidRPr="00F21470">
        <w:t>The process where a regular social worker handles cases for six weeks before they are passed to a duty team was discussed. This system is in place due to a shortage of social workers. While the duty team is responsible for resolving cases, it was noted that responses may not be quick. The speaker clarified that while social workers have a duty of care, the system means individuals may not have a consistent personal contact.</w:t>
      </w:r>
    </w:p>
    <w:p w14:paraId="1B5F7C3D" w14:textId="77777777" w:rsidR="008061B0" w:rsidRPr="00F21470" w:rsidRDefault="008061B0" w:rsidP="00F21470">
      <w:pPr>
        <w:pStyle w:val="Heading5"/>
      </w:pPr>
      <w:r w:rsidRPr="00F21470">
        <w:t xml:space="preserve">Cybersecurity and Hackability of Social Care Technology </w:t>
      </w:r>
    </w:p>
    <w:p w14:paraId="392DEA75" w14:textId="77777777" w:rsidR="008061B0" w:rsidRPr="00F21470" w:rsidRDefault="008061B0" w:rsidP="008061B0">
      <w:r w:rsidRPr="00F21470">
        <w:t xml:space="preserve">In response to a question about hackability and security, it was stated that all social care technology suppliers must adhere to cybersecurity criteria set by the TSA and telecare services, </w:t>
      </w:r>
      <w:r w:rsidRPr="00F21470">
        <w:lastRenderedPageBreak/>
        <w:t>with an accreditation service ensuring strict governance. While these measures aim to mitigate risks, it was acknowledged that, similar to banks, no system can be entirely immune to hacking, and there is always an inherent risk as technology evolves.</w:t>
      </w:r>
    </w:p>
    <w:p w14:paraId="549042E7" w14:textId="60B789E1" w:rsidR="008061B0" w:rsidRPr="00F21470" w:rsidRDefault="008061B0" w:rsidP="00F21470">
      <w:pPr>
        <w:pStyle w:val="Heading5"/>
      </w:pPr>
      <w:r w:rsidRPr="00F21470">
        <w:t>User Training for Digital Devices</w:t>
      </w:r>
    </w:p>
    <w:p w14:paraId="3D63883C" w14:textId="77777777" w:rsidR="008061B0" w:rsidRPr="00F21470" w:rsidRDefault="008061B0" w:rsidP="008061B0">
      <w:r w:rsidRPr="00F21470">
        <w:t>Training for digital care devices is provided at the point of installation. This includes a simplistic explanation of device operations, accompanied by a guidebook. Additional support is offered through CareLink, which also provides a guide on chronic isolation. The design philosophy for these devices prioritises ease of use and simplicity.</w:t>
      </w:r>
    </w:p>
    <w:p w14:paraId="58272F64" w14:textId="7C3169E8" w:rsidR="008061B0" w:rsidRPr="00F21470" w:rsidRDefault="008061B0" w:rsidP="00F21470">
      <w:pPr>
        <w:pStyle w:val="Heading5"/>
      </w:pPr>
      <w:r w:rsidRPr="00F21470">
        <w:t>Discharge Process and Impact Reports</w:t>
      </w:r>
    </w:p>
    <w:p w14:paraId="72520137" w14:textId="77777777" w:rsidR="008061B0" w:rsidRPr="00F21470" w:rsidRDefault="008061B0" w:rsidP="008061B0">
      <w:r w:rsidRPr="00F21470">
        <w:t xml:space="preserve">Discussion included devices that assist with hospital discharge, and reference was made to an impact report on discharge improvements. These devices were introduced approximately two years prior. A participant recalled a watch installation, noting that the take-up of these devices has not been as great as hoped, indicating ongoing challenges with accessibility. </w:t>
      </w:r>
    </w:p>
    <w:p w14:paraId="25A9259E" w14:textId="0EB8DC13" w:rsidR="008061B0" w:rsidRPr="00F21470" w:rsidRDefault="008061B0" w:rsidP="00F21470">
      <w:pPr>
        <w:pStyle w:val="Heading5"/>
      </w:pPr>
      <w:r w:rsidRPr="00F21470">
        <w:t>Refusal of Services Due to Data Sharing Concerns</w:t>
      </w:r>
    </w:p>
    <w:p w14:paraId="6514D266" w14:textId="77777777" w:rsidR="008061B0" w:rsidRPr="00F21470" w:rsidRDefault="008061B0" w:rsidP="008061B0">
      <w:r w:rsidRPr="00F21470">
        <w:t>A question was raised regarding whether any service users had refused services due to concerns about data sharing. The speaker could not recall a specific instance but acknowledged that such situations might have occurred, with hands-on management of these cases typically handled by team members Chloe and Vince from the transformation office.</w:t>
      </w:r>
    </w:p>
    <w:p w14:paraId="6AD86F24" w14:textId="64DF82DE" w:rsidR="008061B0" w:rsidRPr="00F21470" w:rsidRDefault="008061B0" w:rsidP="008061B0">
      <w:pPr>
        <w:pStyle w:val="Heading1"/>
      </w:pPr>
      <w:r w:rsidRPr="00F21470">
        <w:t>Attendance discussion</w:t>
      </w:r>
    </w:p>
    <w:p w14:paraId="0C2C9AFD" w14:textId="77777777" w:rsidR="008061B0" w:rsidRPr="00F21470" w:rsidRDefault="008061B0" w:rsidP="008061B0">
      <w:pPr>
        <w:pStyle w:val="Heading1"/>
      </w:pPr>
      <w:r w:rsidRPr="00F21470">
        <w:t>Action Log</w:t>
      </w:r>
    </w:p>
    <w:p w14:paraId="26428665" w14:textId="1B7F43A6" w:rsidR="008061B0" w:rsidRPr="00F21470" w:rsidRDefault="008061B0" w:rsidP="00F21470">
      <w:pPr>
        <w:pStyle w:val="Heading5"/>
      </w:pPr>
      <w:r w:rsidRPr="00F21470">
        <w:t>August 2025</w:t>
      </w:r>
    </w:p>
    <w:tbl>
      <w:tblPr>
        <w:tblStyle w:val="GridTable4-Accent1"/>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269"/>
        <w:gridCol w:w="5952"/>
      </w:tblGrid>
      <w:tr w:rsidR="008061B0" w:rsidRPr="00F21470" w14:paraId="6ED73F3D" w14:textId="77777777" w:rsidTr="008061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5" w:type="pct"/>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tcPr>
          <w:p w14:paraId="612AAA27" w14:textId="77777777" w:rsidR="008061B0" w:rsidRPr="00F21470" w:rsidRDefault="008061B0" w:rsidP="008061B0">
            <w:pPr>
              <w:spacing w:after="120" w:line="276" w:lineRule="auto"/>
              <w:rPr>
                <w:rFonts w:ascii="Poppins" w:hAnsi="Poppins" w:cs="Poppins"/>
                <w:sz w:val="20"/>
                <w:szCs w:val="20"/>
              </w:rPr>
            </w:pPr>
            <w:r w:rsidRPr="00F21470">
              <w:rPr>
                <w:rFonts w:ascii="Poppins" w:hAnsi="Poppins" w:cs="Poppins"/>
                <w:sz w:val="20"/>
                <w:szCs w:val="20"/>
              </w:rPr>
              <w:t>Staff Member</w:t>
            </w:r>
          </w:p>
        </w:tc>
        <w:tc>
          <w:tcPr>
            <w:tcW w:w="1177" w:type="pct"/>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tcPr>
          <w:p w14:paraId="3CCE95BA" w14:textId="77777777" w:rsidR="008061B0" w:rsidRPr="00F21470" w:rsidRDefault="008061B0" w:rsidP="008061B0">
            <w:pPr>
              <w:spacing w:after="120" w:line="276" w:lineRule="auto"/>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Actions from the last panel session</w:t>
            </w:r>
          </w:p>
        </w:tc>
        <w:tc>
          <w:tcPr>
            <w:tcW w:w="3088" w:type="pct"/>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tcPr>
          <w:p w14:paraId="5C52C833" w14:textId="77777777" w:rsidR="008061B0" w:rsidRPr="00F21470" w:rsidRDefault="008061B0" w:rsidP="008061B0">
            <w:pPr>
              <w:spacing w:after="120" w:line="276" w:lineRule="auto"/>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Updates and Feedback</w:t>
            </w:r>
          </w:p>
        </w:tc>
      </w:tr>
      <w:tr w:rsidR="008061B0" w:rsidRPr="00F21470" w14:paraId="51030971" w14:textId="77777777" w:rsidTr="008061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5" w:type="pct"/>
            <w:tcBorders>
              <w:top w:val="single" w:sz="4" w:space="0" w:color="auto"/>
            </w:tcBorders>
            <w:shd w:val="clear" w:color="auto" w:fill="auto"/>
            <w:tcMar>
              <w:left w:w="105" w:type="dxa"/>
              <w:right w:w="105" w:type="dxa"/>
            </w:tcMar>
          </w:tcPr>
          <w:p w14:paraId="52A20AE2" w14:textId="77777777" w:rsidR="008061B0" w:rsidRPr="00F21470" w:rsidRDefault="008061B0" w:rsidP="008061B0">
            <w:pPr>
              <w:spacing w:after="120" w:line="276" w:lineRule="auto"/>
              <w:rPr>
                <w:rFonts w:ascii="Poppins" w:hAnsi="Poppins" w:cs="Poppins"/>
                <w:sz w:val="20"/>
                <w:szCs w:val="20"/>
              </w:rPr>
            </w:pPr>
            <w:r w:rsidRPr="00F21470">
              <w:rPr>
                <w:rFonts w:ascii="Poppins" w:hAnsi="Poppins" w:cs="Poppins"/>
                <w:sz w:val="20"/>
                <w:szCs w:val="20"/>
              </w:rPr>
              <w:t>Summer</w:t>
            </w:r>
          </w:p>
        </w:tc>
        <w:tc>
          <w:tcPr>
            <w:tcW w:w="1177" w:type="pct"/>
            <w:tcBorders>
              <w:top w:val="single" w:sz="4" w:space="0" w:color="auto"/>
            </w:tcBorders>
            <w:shd w:val="clear" w:color="auto" w:fill="auto"/>
            <w:tcMar>
              <w:left w:w="105" w:type="dxa"/>
              <w:right w:w="105" w:type="dxa"/>
            </w:tcMar>
          </w:tcPr>
          <w:p w14:paraId="2D886688"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Trauma card pilot</w:t>
            </w:r>
          </w:p>
        </w:tc>
        <w:tc>
          <w:tcPr>
            <w:tcW w:w="3088" w:type="pct"/>
            <w:tcBorders>
              <w:top w:val="single" w:sz="4" w:space="0" w:color="auto"/>
            </w:tcBorders>
            <w:shd w:val="clear" w:color="auto" w:fill="auto"/>
            <w:tcMar>
              <w:left w:w="105" w:type="dxa"/>
              <w:right w:w="105" w:type="dxa"/>
            </w:tcMar>
          </w:tcPr>
          <w:p w14:paraId="64D22E7E"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hyperlink r:id="rId6">
              <w:r w:rsidRPr="00F21470">
                <w:rPr>
                  <w:rStyle w:val="Hyperlink"/>
                  <w:rFonts w:cs="Poppins"/>
                  <w:szCs w:val="20"/>
                </w:rPr>
                <w:t>https://www.bbc.co.uk/news/articles/cvg1vjdx9peo</w:t>
              </w:r>
            </w:hyperlink>
            <w:r w:rsidRPr="00F21470">
              <w:rPr>
                <w:rFonts w:ascii="Poppins" w:hAnsi="Poppins" w:cs="Poppins"/>
                <w:sz w:val="20"/>
                <w:szCs w:val="20"/>
              </w:rPr>
              <w:t xml:space="preserve"> BBC article- NHS urged to rollout QR ‘trauma cards’ after trial.</w:t>
            </w:r>
          </w:p>
          <w:p w14:paraId="57D2E75F"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Brief update on the Trauma Card pilot in Essex, including a reference to an article about NHS and Healthwatch involvement. Uncertainty expressed due to recent developments with Healthwatch. The topic has been on the action log for a few months but not discussed in detail.</w:t>
            </w:r>
          </w:p>
        </w:tc>
      </w:tr>
      <w:tr w:rsidR="008061B0" w:rsidRPr="00F21470" w14:paraId="504FF4AE" w14:textId="77777777" w:rsidTr="008061B0">
        <w:trPr>
          <w:trHeight w:val="300"/>
        </w:trPr>
        <w:tc>
          <w:tcPr>
            <w:cnfStyle w:val="001000000000" w:firstRow="0" w:lastRow="0" w:firstColumn="1" w:lastColumn="0" w:oddVBand="0" w:evenVBand="0" w:oddHBand="0" w:evenHBand="0" w:firstRowFirstColumn="0" w:firstRowLastColumn="0" w:lastRowFirstColumn="0" w:lastRowLastColumn="0"/>
            <w:tcW w:w="735" w:type="pct"/>
            <w:shd w:val="clear" w:color="auto" w:fill="auto"/>
            <w:tcMar>
              <w:left w:w="105" w:type="dxa"/>
              <w:right w:w="105" w:type="dxa"/>
            </w:tcMar>
          </w:tcPr>
          <w:p w14:paraId="7C8E1D66" w14:textId="77777777" w:rsidR="008061B0" w:rsidRPr="00F21470" w:rsidRDefault="008061B0" w:rsidP="008061B0">
            <w:pPr>
              <w:spacing w:after="120" w:line="276" w:lineRule="auto"/>
              <w:rPr>
                <w:rFonts w:ascii="Poppins" w:hAnsi="Poppins" w:cs="Poppins"/>
                <w:sz w:val="20"/>
                <w:szCs w:val="20"/>
              </w:rPr>
            </w:pPr>
            <w:r w:rsidRPr="00F21470">
              <w:rPr>
                <w:rFonts w:ascii="Poppins" w:hAnsi="Poppins" w:cs="Poppins"/>
                <w:sz w:val="20"/>
                <w:szCs w:val="20"/>
              </w:rPr>
              <w:t>Michelle</w:t>
            </w:r>
          </w:p>
        </w:tc>
        <w:tc>
          <w:tcPr>
            <w:tcW w:w="1177" w:type="pct"/>
            <w:shd w:val="clear" w:color="auto" w:fill="auto"/>
            <w:tcMar>
              <w:left w:w="105" w:type="dxa"/>
              <w:right w:w="105" w:type="dxa"/>
            </w:tcMar>
          </w:tcPr>
          <w:p w14:paraId="730ABABA" w14:textId="77777777" w:rsidR="008061B0" w:rsidRPr="00F21470" w:rsidRDefault="008061B0" w:rsidP="008061B0">
            <w:pPr>
              <w:spacing w:after="12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Equipped houses updates</w:t>
            </w:r>
          </w:p>
        </w:tc>
        <w:tc>
          <w:tcPr>
            <w:tcW w:w="3088" w:type="pct"/>
            <w:shd w:val="clear" w:color="auto" w:fill="auto"/>
            <w:tcMar>
              <w:left w:w="105" w:type="dxa"/>
              <w:right w:w="105" w:type="dxa"/>
            </w:tcMar>
          </w:tcPr>
          <w:p w14:paraId="7DAA6854" w14:textId="1B44E31D" w:rsidR="008061B0" w:rsidRPr="00F21470" w:rsidRDefault="008061B0" w:rsidP="008061B0">
            <w:pPr>
              <w:spacing w:after="12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Equipped houses website testing between 20 Aug and 12 Sept.</w:t>
            </w:r>
          </w:p>
          <w:p w14:paraId="50BBD10E" w14:textId="77777777" w:rsidR="008061B0" w:rsidRPr="00F21470" w:rsidRDefault="008061B0" w:rsidP="008061B0">
            <w:pPr>
              <w:spacing w:after="12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Michelle provided an update on equipping houses and thanked those who volunteered to test the new website feature. An email is prepared to be sent out for feedback, including to those not present. The feature is new and feedback is sought for improvements.</w:t>
            </w:r>
          </w:p>
        </w:tc>
      </w:tr>
      <w:tr w:rsidR="008061B0" w:rsidRPr="00F21470" w14:paraId="37566DAE" w14:textId="77777777" w:rsidTr="008061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5" w:type="pct"/>
            <w:shd w:val="clear" w:color="auto" w:fill="auto"/>
            <w:tcMar>
              <w:left w:w="105" w:type="dxa"/>
              <w:right w:w="105" w:type="dxa"/>
            </w:tcMar>
          </w:tcPr>
          <w:p w14:paraId="266A94F3" w14:textId="77777777" w:rsidR="008061B0" w:rsidRPr="00F21470" w:rsidRDefault="008061B0" w:rsidP="008061B0">
            <w:pPr>
              <w:spacing w:after="120" w:line="276" w:lineRule="auto"/>
              <w:rPr>
                <w:rFonts w:ascii="Poppins" w:hAnsi="Poppins" w:cs="Poppins"/>
                <w:sz w:val="20"/>
                <w:szCs w:val="20"/>
              </w:rPr>
            </w:pPr>
            <w:r w:rsidRPr="00F21470">
              <w:rPr>
                <w:rFonts w:ascii="Poppins" w:hAnsi="Poppins" w:cs="Poppins"/>
                <w:sz w:val="20"/>
                <w:szCs w:val="20"/>
              </w:rPr>
              <w:lastRenderedPageBreak/>
              <w:t>Summer</w:t>
            </w:r>
          </w:p>
        </w:tc>
        <w:tc>
          <w:tcPr>
            <w:tcW w:w="1177" w:type="pct"/>
            <w:shd w:val="clear" w:color="auto" w:fill="auto"/>
            <w:tcMar>
              <w:left w:w="105" w:type="dxa"/>
              <w:right w:w="105" w:type="dxa"/>
            </w:tcMar>
          </w:tcPr>
          <w:p w14:paraId="61E0EAAB"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Medication reminders on PATCHES and the NHS app</w:t>
            </w:r>
          </w:p>
        </w:tc>
        <w:tc>
          <w:tcPr>
            <w:tcW w:w="3088" w:type="pct"/>
            <w:shd w:val="clear" w:color="auto" w:fill="auto"/>
            <w:tcMar>
              <w:left w:w="105" w:type="dxa"/>
              <w:right w:w="105" w:type="dxa"/>
            </w:tcMar>
          </w:tcPr>
          <w:p w14:paraId="0C978B66"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 xml:space="preserve">Emailed </w:t>
            </w:r>
            <w:hyperlink r:id="rId7">
              <w:r w:rsidRPr="00F21470">
                <w:rPr>
                  <w:rStyle w:val="Hyperlink"/>
                  <w:rFonts w:cs="Poppins"/>
                  <w:szCs w:val="20"/>
                </w:rPr>
                <w:t>digitalsupport.wakefield@nhs.net</w:t>
              </w:r>
            </w:hyperlink>
            <w:r w:rsidRPr="00F21470">
              <w:rPr>
                <w:rFonts w:ascii="Poppins" w:hAnsi="Poppins" w:cs="Poppins"/>
                <w:sz w:val="20"/>
                <w:szCs w:val="20"/>
              </w:rPr>
              <w:t xml:space="preserve"> and spoke to one of their NHS app ambassadors.</w:t>
            </w:r>
          </w:p>
          <w:p w14:paraId="167CB480" w14:textId="2D95D9E8"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For the last 18 months, NHS England/digital app support services have been going to patient groups and have feedback peoples feedback around medication reminders on the app. They have recognised this, and have implemented the reminders into the new 10-year-plan.</w:t>
            </w:r>
          </w:p>
          <w:p w14:paraId="3A0DCA8C" w14:textId="19915D51"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They want the app to be ‘a GP in your pocket’.</w:t>
            </w:r>
          </w:p>
          <w:p w14:paraId="74D6A316" w14:textId="3CC9821D"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They are also implementing plans to include repeat dispensing, where you can track how many issues you have left.</w:t>
            </w:r>
          </w:p>
          <w:p w14:paraId="272E34A4" w14:textId="78B5AA8A"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Prescription tracker is now live in the app, where you can track where your prescription is in the pharmacy (been dispensed, waiting for pharmacist to check, etc). Only 70/80% of pharmacies are signed up for this (your bigger pharmacy chains like boots) but it is hoped that this will be implemented for all in the near future.</w:t>
            </w:r>
          </w:p>
          <w:p w14:paraId="2D5E17C8"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Looking at medication stock levels in pharmacies. Will be able to check what pharmacies have medication available.</w:t>
            </w:r>
          </w:p>
          <w:p w14:paraId="14088F10"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Not sure on when this will be implemented, but it will continue to evolve over the coming years.</w:t>
            </w:r>
          </w:p>
          <w:p w14:paraId="69DA6CF5" w14:textId="6C5C6039"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hyperlink r:id="rId8">
              <w:r w:rsidRPr="00F21470">
                <w:rPr>
                  <w:rStyle w:val="Hyperlink"/>
                  <w:rFonts w:cs="Poppins"/>
                  <w:szCs w:val="20"/>
                </w:rPr>
                <w:t>Fit for the future: 10 Year Health Plan for England - executive summary</w:t>
              </w:r>
            </w:hyperlink>
          </w:p>
          <w:p w14:paraId="4F5DEBDD"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Update on the inclusion of medication reminders in the NHS app as part of the new 10-year plan. Features discussed include ordering, reminders, appointment booking, test results, repeat dispensing, prescription tracking, and future plans for stock level visibility. Noted that 70% to 80% of pharmacies are currently signed up for prescription tracking.</w:t>
            </w:r>
          </w:p>
          <w:p w14:paraId="2720FB53" w14:textId="2EE460B8"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Discussion about the risks of patients receiving abnormal blood results directly via the app, leading to anxiety. Suggestions made for clearer notes from doctors and better explanation of results. Noted that the app includes features for carers and parents, and shows waiting list status, but updates may not be timely.</w:t>
            </w:r>
          </w:p>
        </w:tc>
      </w:tr>
      <w:tr w:rsidR="008061B0" w:rsidRPr="00F21470" w14:paraId="7766512B" w14:textId="77777777" w:rsidTr="008061B0">
        <w:trPr>
          <w:trHeight w:val="300"/>
        </w:trPr>
        <w:tc>
          <w:tcPr>
            <w:cnfStyle w:val="001000000000" w:firstRow="0" w:lastRow="0" w:firstColumn="1" w:lastColumn="0" w:oddVBand="0" w:evenVBand="0" w:oddHBand="0" w:evenHBand="0" w:firstRowFirstColumn="0" w:firstRowLastColumn="0" w:lastRowFirstColumn="0" w:lastRowLastColumn="0"/>
            <w:tcW w:w="735" w:type="pct"/>
            <w:shd w:val="clear" w:color="auto" w:fill="auto"/>
            <w:tcMar>
              <w:left w:w="105" w:type="dxa"/>
              <w:right w:w="105" w:type="dxa"/>
            </w:tcMar>
          </w:tcPr>
          <w:p w14:paraId="09BA6D7A" w14:textId="77777777" w:rsidR="008061B0" w:rsidRPr="00F21470" w:rsidRDefault="008061B0" w:rsidP="008061B0">
            <w:pPr>
              <w:spacing w:after="120" w:line="276" w:lineRule="auto"/>
              <w:rPr>
                <w:rFonts w:ascii="Poppins" w:hAnsi="Poppins" w:cs="Poppins"/>
                <w:sz w:val="20"/>
                <w:szCs w:val="20"/>
              </w:rPr>
            </w:pPr>
            <w:r w:rsidRPr="00F21470">
              <w:rPr>
                <w:rFonts w:ascii="Poppins" w:hAnsi="Poppins" w:cs="Poppins"/>
                <w:sz w:val="20"/>
                <w:szCs w:val="20"/>
              </w:rPr>
              <w:t>Summer</w:t>
            </w:r>
          </w:p>
        </w:tc>
        <w:tc>
          <w:tcPr>
            <w:tcW w:w="1177" w:type="pct"/>
            <w:shd w:val="clear" w:color="auto" w:fill="auto"/>
            <w:tcMar>
              <w:left w:w="105" w:type="dxa"/>
              <w:right w:w="105" w:type="dxa"/>
            </w:tcMar>
          </w:tcPr>
          <w:p w14:paraId="50069CD0" w14:textId="77777777" w:rsidR="008061B0" w:rsidRPr="00F21470" w:rsidRDefault="008061B0" w:rsidP="008061B0">
            <w:pPr>
              <w:spacing w:after="12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Creative Session</w:t>
            </w:r>
          </w:p>
        </w:tc>
        <w:tc>
          <w:tcPr>
            <w:tcW w:w="3088" w:type="pct"/>
            <w:shd w:val="clear" w:color="auto" w:fill="auto"/>
            <w:tcMar>
              <w:left w:w="105" w:type="dxa"/>
              <w:right w:w="105" w:type="dxa"/>
            </w:tcMar>
          </w:tcPr>
          <w:p w14:paraId="28BAB9F2" w14:textId="058C218F" w:rsidR="008061B0" w:rsidRPr="00F21470" w:rsidRDefault="008061B0" w:rsidP="008061B0">
            <w:pPr>
              <w:spacing w:after="12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Idea’s so far:</w:t>
            </w:r>
          </w:p>
          <w:p w14:paraId="1E7C3F59" w14:textId="77777777" w:rsidR="008061B0" w:rsidRPr="00F21470" w:rsidRDefault="008061B0" w:rsidP="008061B0">
            <w:pPr>
              <w:spacing w:after="12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lastRenderedPageBreak/>
              <w:t>Barge trip, bowling, escape room, cinema/theatre.</w:t>
            </w:r>
          </w:p>
          <w:p w14:paraId="004BE1BB" w14:textId="774D3BF0" w:rsidR="008061B0" w:rsidRPr="00F21470" w:rsidRDefault="008061B0" w:rsidP="008061B0">
            <w:pPr>
              <w:spacing w:after="12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Organisations mentioned:</w:t>
            </w:r>
          </w:p>
          <w:p w14:paraId="7A1F7CDA" w14:textId="77777777" w:rsidR="008061B0" w:rsidRPr="00F21470" w:rsidRDefault="008061B0" w:rsidP="008061B0">
            <w:pPr>
              <w:spacing w:after="12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Safe Anchor Trust, Appletree Community Garden/Art House (do creative activities)</w:t>
            </w:r>
          </w:p>
          <w:p w14:paraId="451FFE29" w14:textId="77777777" w:rsidR="008061B0" w:rsidRPr="00F21470" w:rsidRDefault="008061B0" w:rsidP="008061B0">
            <w:pPr>
              <w:spacing w:after="120" w:line="276" w:lineRule="auto"/>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Discussion about options for the upcoming creative session, including barge trip, bowling, escape room, cinema, theatre, and in-house activities. Anne-Marie has asked for no boats for the session. Panels have chosen a pottery session or similar creative activity to be done in house.</w:t>
            </w:r>
          </w:p>
        </w:tc>
      </w:tr>
      <w:tr w:rsidR="008061B0" w:rsidRPr="00F21470" w14:paraId="7132A4A8" w14:textId="77777777" w:rsidTr="008061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5" w:type="pct"/>
            <w:shd w:val="clear" w:color="auto" w:fill="auto"/>
            <w:tcMar>
              <w:left w:w="105" w:type="dxa"/>
              <w:right w:w="105" w:type="dxa"/>
            </w:tcMar>
          </w:tcPr>
          <w:p w14:paraId="2B44DC81" w14:textId="4FBFAA78" w:rsidR="008061B0" w:rsidRPr="00F21470" w:rsidRDefault="008061B0" w:rsidP="008061B0">
            <w:pPr>
              <w:spacing w:after="120" w:line="276" w:lineRule="auto"/>
              <w:rPr>
                <w:rFonts w:ascii="Poppins" w:hAnsi="Poppins" w:cs="Poppins"/>
                <w:sz w:val="20"/>
                <w:szCs w:val="20"/>
              </w:rPr>
            </w:pPr>
            <w:r w:rsidRPr="00F21470">
              <w:rPr>
                <w:rFonts w:ascii="Poppins" w:hAnsi="Poppins" w:cs="Poppins"/>
                <w:sz w:val="20"/>
                <w:szCs w:val="20"/>
              </w:rPr>
              <w:lastRenderedPageBreak/>
              <w:t>Summer / Michelle</w:t>
            </w:r>
          </w:p>
        </w:tc>
        <w:tc>
          <w:tcPr>
            <w:tcW w:w="1177" w:type="pct"/>
            <w:shd w:val="clear" w:color="auto" w:fill="auto"/>
            <w:tcMar>
              <w:left w:w="105" w:type="dxa"/>
              <w:right w:w="105" w:type="dxa"/>
            </w:tcMar>
          </w:tcPr>
          <w:p w14:paraId="2B4F74EF" w14:textId="0FEE9C01"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Use of the Acute Assessment Unit (AAU) at Pinderfields's</w:t>
            </w:r>
          </w:p>
        </w:tc>
        <w:tc>
          <w:tcPr>
            <w:tcW w:w="3088" w:type="pct"/>
            <w:shd w:val="clear" w:color="auto" w:fill="auto"/>
            <w:tcMar>
              <w:left w:w="105" w:type="dxa"/>
              <w:right w:w="105" w:type="dxa"/>
            </w:tcMar>
          </w:tcPr>
          <w:p w14:paraId="2245B770"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Our Respiratory service on Gate 11 at Pinderfields Hospital is temporarily relocating to Gate 38A on floor D, starting from 17 June 2025.</w:t>
            </w:r>
          </w:p>
          <w:p w14:paraId="679B0985"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Gate 38A is a temporary building that has been constructed next to our Emergency Department. This is to accommodate our patients whilst upgrade and maintenance works take place within the hospital.</w:t>
            </w:r>
          </w:p>
          <w:p w14:paraId="41C9183F"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Relevant patients and relatives will be made aware of this move. If you are planning to visit Respiratory, please be aware and understand that there may be some temporary disruption. Wayfinding signage is in place to direct you to Gate 38A.</w:t>
            </w:r>
          </w:p>
          <w:p w14:paraId="5AB3F610"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The Respiratory service will be located on Gate 38A for approximately two months.</w:t>
            </w:r>
          </w:p>
          <w:p w14:paraId="44F3A119"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The Orthopaedics service has now relocated back to Gate 38 following the move of the service into Gate 38A at the end of April 2025.</w:t>
            </w:r>
          </w:p>
          <w:p w14:paraId="51781B64"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Initially, Gate 38A has been configured as a 16-bed facility to allow ventilation, maintenance and other upgrade works to be undertaken on a number of gates. Following the completion of these works, the ward will be reconfigured into a 40-bed ward allowing further works to proceed in the remaining gates, continuing over the next few years until early 2027.</w:t>
            </w:r>
          </w:p>
          <w:p w14:paraId="5E753130"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 xml:space="preserve">Further discussion on the Acute Assessment Unit (AAU) situation, with the speaker sharing their extensive efforts to clarify the purpose of the temporary structure at Pinderfields Hospital and the importance of </w:t>
            </w:r>
            <w:r w:rsidRPr="00F21470">
              <w:rPr>
                <w:rFonts w:ascii="Poppins" w:hAnsi="Poppins" w:cs="Poppins"/>
                <w:sz w:val="20"/>
                <w:szCs w:val="20"/>
              </w:rPr>
              <w:lastRenderedPageBreak/>
              <w:t>communicating these findings to their team. The speaker highlighted the public's right to know about NHS services.</w:t>
            </w:r>
          </w:p>
          <w:p w14:paraId="2B8D924F" w14:textId="77777777" w:rsidR="008061B0" w:rsidRPr="00F21470" w:rsidRDefault="008061B0" w:rsidP="008061B0">
            <w:pPr>
              <w:spacing w:after="120" w:line="276"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F21470">
              <w:rPr>
                <w:rFonts w:ascii="Poppins" w:hAnsi="Poppins" w:cs="Poppins"/>
                <w:sz w:val="20"/>
                <w:szCs w:val="20"/>
              </w:rPr>
              <w:t>Discussion about a purpose-built temporary ward on stilts at Pinderfields Hospital, which is used for temporary patient accommodation when other wards are undergoing updates or 'titivating'. The speaker initially believed it was an Acute Assessment Unit (AAU) based on rumours and Boris Johnson's funding, but hospital staff clarified its actual use. Confusion was noted among staff and visitors about its purpose, highlighting the need for better communication, possibly through simple signage. Balfour Beatty's involvement was also mentioned.</w:t>
            </w:r>
          </w:p>
        </w:tc>
      </w:tr>
    </w:tbl>
    <w:p w14:paraId="30104E7D" w14:textId="26E87E32" w:rsidR="008061B0" w:rsidRPr="00F21470" w:rsidRDefault="008061B0" w:rsidP="008061B0">
      <w:pPr>
        <w:pStyle w:val="Heading1"/>
        <w:rPr>
          <w:rStyle w:val="IntenseQuoteChar"/>
          <w:i w:val="0"/>
          <w:iCs w:val="0"/>
          <w:color w:val="004F6B"/>
        </w:rPr>
      </w:pPr>
      <w:r w:rsidRPr="00F21470">
        <w:lastRenderedPageBreak/>
        <w:t>A</w:t>
      </w:r>
      <w:r w:rsidRPr="00F21470">
        <w:rPr>
          <w:rStyle w:val="IntenseQuoteChar"/>
          <w:i w:val="0"/>
          <w:iCs w:val="0"/>
          <w:color w:val="004F6B"/>
        </w:rPr>
        <w:t>OB</w:t>
      </w:r>
    </w:p>
    <w:p w14:paraId="7C9FE15B" w14:textId="65D3CB1A" w:rsidR="008061B0" w:rsidRPr="00F21470" w:rsidRDefault="008061B0" w:rsidP="008061B0">
      <w:r w:rsidRPr="00F21470">
        <w:t>Discussion of upcoming panel dates until the end of the year, with a specific change for October from the 21 to the 14. Attendees were given a sheet with the dates and advised to contact the organiser or Anne-Marie with questions.</w:t>
      </w:r>
    </w:p>
    <w:p w14:paraId="2883E8B5" w14:textId="77777777" w:rsidR="008061B0" w:rsidRPr="00F21470" w:rsidRDefault="008061B0" w:rsidP="008061B0">
      <w:r w:rsidRPr="00F21470">
        <w:t>Lewis and panel members thanked and wished Summer well for the future.</w:t>
      </w:r>
    </w:p>
    <w:p w14:paraId="3027E506" w14:textId="09238508" w:rsidR="008061B0" w:rsidRPr="00F21470" w:rsidRDefault="008061B0" w:rsidP="008061B0">
      <w:r w:rsidRPr="00F21470">
        <w:t>Carer’s Voice Network are holding an event in September, panel members to be updated accordingly.</w:t>
      </w:r>
    </w:p>
    <w:p w14:paraId="15639BD9" w14:textId="452E03A9" w:rsidR="008061B0" w:rsidRPr="00F21470" w:rsidRDefault="008061B0" w:rsidP="008061B0">
      <w:r w:rsidRPr="00F21470">
        <w:t>Discussion about whether GP surgeries are aware of health related services available in local libraries, such as health walks and seated exercises. Noted that social prescribers might know, but not all GP practices are informed.</w:t>
      </w:r>
    </w:p>
    <w:p w14:paraId="2C9EBAAC" w14:textId="32B33C8E" w:rsidR="008061B0" w:rsidRPr="00F21470" w:rsidRDefault="008061B0" w:rsidP="008061B0">
      <w:pPr>
        <w:pStyle w:val="Heading1"/>
      </w:pPr>
      <w:r w:rsidRPr="00F21470">
        <w:t>Future Meetings</w:t>
      </w:r>
    </w:p>
    <w:p w14:paraId="606C1E04" w14:textId="4711B030" w:rsidR="008061B0" w:rsidRPr="00F21470" w:rsidRDefault="008061B0" w:rsidP="008061B0">
      <w:r w:rsidRPr="00F21470">
        <w:t>All meetings between 10.15 am and 12 Noon at West Wakefield Methodist Church</w:t>
      </w:r>
    </w:p>
    <w:p w14:paraId="2EC86EDF" w14:textId="2126D35A" w:rsidR="008061B0" w:rsidRPr="00F21470" w:rsidRDefault="008061B0" w:rsidP="008061B0">
      <w:r w:rsidRPr="00F21470">
        <w:t>Tuesday 16 September</w:t>
      </w:r>
    </w:p>
    <w:p w14:paraId="5A523EAC" w14:textId="5A09C3F9" w:rsidR="008061B0" w:rsidRPr="00F21470" w:rsidRDefault="008061B0" w:rsidP="008061B0">
      <w:r w:rsidRPr="00F21470">
        <w:t>Tuesday 14 October (date changed from the 21 October)</w:t>
      </w:r>
    </w:p>
    <w:p w14:paraId="203B2846" w14:textId="6986ED46" w:rsidR="008061B0" w:rsidRPr="00F21470" w:rsidRDefault="008061B0" w:rsidP="008061B0">
      <w:r w:rsidRPr="00F21470">
        <w:t>Tuesday 18 November</w:t>
      </w:r>
    </w:p>
    <w:p w14:paraId="1884CC77" w14:textId="792F6788" w:rsidR="008061B0" w:rsidRPr="00F21470" w:rsidRDefault="008061B0" w:rsidP="008061B0">
      <w:r w:rsidRPr="00F21470">
        <w:t>Tuesday 16 December</w:t>
      </w:r>
    </w:p>
    <w:p w14:paraId="3687002B" w14:textId="77777777" w:rsidR="008061B0" w:rsidRPr="00F21470" w:rsidRDefault="008061B0" w:rsidP="008061B0"/>
    <w:sectPr w:rsidR="008061B0" w:rsidRPr="00F21470" w:rsidSect="00F21470">
      <w:pgSz w:w="11906" w:h="16838"/>
      <w:pgMar w:top="851" w:right="851"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C106" w14:textId="77777777" w:rsidR="00832D1D" w:rsidRDefault="00832D1D" w:rsidP="00F21470">
      <w:pPr>
        <w:spacing w:after="0" w:line="240" w:lineRule="auto"/>
      </w:pPr>
      <w:r>
        <w:separator/>
      </w:r>
    </w:p>
  </w:endnote>
  <w:endnote w:type="continuationSeparator" w:id="0">
    <w:p w14:paraId="205CC8CB" w14:textId="77777777" w:rsidR="00832D1D" w:rsidRDefault="00832D1D" w:rsidP="00F2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85F3" w14:textId="77777777" w:rsidR="00832D1D" w:rsidRDefault="00832D1D" w:rsidP="00F21470">
      <w:pPr>
        <w:spacing w:after="0" w:line="240" w:lineRule="auto"/>
      </w:pPr>
      <w:r>
        <w:separator/>
      </w:r>
    </w:p>
  </w:footnote>
  <w:footnote w:type="continuationSeparator" w:id="0">
    <w:p w14:paraId="3FD38134" w14:textId="77777777" w:rsidR="00832D1D" w:rsidRDefault="00832D1D" w:rsidP="00F214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9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B0"/>
    <w:rsid w:val="0000724B"/>
    <w:rsid w:val="000C482D"/>
    <w:rsid w:val="000D116E"/>
    <w:rsid w:val="001239FA"/>
    <w:rsid w:val="00166131"/>
    <w:rsid w:val="00185C41"/>
    <w:rsid w:val="001B118C"/>
    <w:rsid w:val="00203803"/>
    <w:rsid w:val="00210844"/>
    <w:rsid w:val="00267A94"/>
    <w:rsid w:val="00281B31"/>
    <w:rsid w:val="00353B09"/>
    <w:rsid w:val="003A0660"/>
    <w:rsid w:val="004344DC"/>
    <w:rsid w:val="00450A37"/>
    <w:rsid w:val="004665C3"/>
    <w:rsid w:val="004A3256"/>
    <w:rsid w:val="004A5C3F"/>
    <w:rsid w:val="004B6673"/>
    <w:rsid w:val="005433EB"/>
    <w:rsid w:val="00610950"/>
    <w:rsid w:val="00616903"/>
    <w:rsid w:val="00616E04"/>
    <w:rsid w:val="00675C25"/>
    <w:rsid w:val="006B0174"/>
    <w:rsid w:val="006D739F"/>
    <w:rsid w:val="006F7B40"/>
    <w:rsid w:val="00715F8E"/>
    <w:rsid w:val="008061B0"/>
    <w:rsid w:val="00806BC6"/>
    <w:rsid w:val="00832D1D"/>
    <w:rsid w:val="0085393F"/>
    <w:rsid w:val="008807BC"/>
    <w:rsid w:val="0088689D"/>
    <w:rsid w:val="008A6261"/>
    <w:rsid w:val="008B4B50"/>
    <w:rsid w:val="008E3AA7"/>
    <w:rsid w:val="008F70CB"/>
    <w:rsid w:val="009313F9"/>
    <w:rsid w:val="009318AF"/>
    <w:rsid w:val="009B7936"/>
    <w:rsid w:val="00A14CCF"/>
    <w:rsid w:val="00A6620D"/>
    <w:rsid w:val="00AE7EF4"/>
    <w:rsid w:val="00B117AD"/>
    <w:rsid w:val="00B7467A"/>
    <w:rsid w:val="00BA1889"/>
    <w:rsid w:val="00BB35FE"/>
    <w:rsid w:val="00BD103A"/>
    <w:rsid w:val="00C078AC"/>
    <w:rsid w:val="00C30DEB"/>
    <w:rsid w:val="00C654CB"/>
    <w:rsid w:val="00C80912"/>
    <w:rsid w:val="00CD3DA1"/>
    <w:rsid w:val="00D17D91"/>
    <w:rsid w:val="00D33E03"/>
    <w:rsid w:val="00DC2700"/>
    <w:rsid w:val="00E24060"/>
    <w:rsid w:val="00E50761"/>
    <w:rsid w:val="00F047A0"/>
    <w:rsid w:val="00F21470"/>
    <w:rsid w:val="00F67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AB5E"/>
  <w15:chartTrackingRefBased/>
  <w15:docId w15:val="{77BCCE76-EED5-402D-B784-372C8150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B0"/>
    <w:rPr>
      <w:rFonts w:eastAsia="Poppins"/>
      <w:color w:val="0E2740"/>
      <w:kern w:val="0"/>
      <w:lang w:eastAsia="ja-JP"/>
      <w14:ligatures w14:val="none"/>
    </w:rPr>
  </w:style>
  <w:style w:type="paragraph" w:styleId="Heading1">
    <w:name w:val="heading 1"/>
    <w:basedOn w:val="Normal"/>
    <w:next w:val="Normal"/>
    <w:link w:val="Heading1Char"/>
    <w:uiPriority w:val="9"/>
    <w:qFormat/>
    <w:rsid w:val="008061B0"/>
    <w:pPr>
      <w:spacing w:before="120" w:line="240" w:lineRule="auto"/>
      <w:outlineLvl w:val="0"/>
    </w:pPr>
    <w:rPr>
      <w:color w:val="004F6B"/>
      <w:sz w:val="32"/>
      <w:szCs w:val="32"/>
    </w:rPr>
  </w:style>
  <w:style w:type="paragraph" w:styleId="Heading2">
    <w:name w:val="heading 2"/>
    <w:basedOn w:val="Normal"/>
    <w:next w:val="Normal"/>
    <w:link w:val="Heading2Char"/>
    <w:uiPriority w:val="9"/>
    <w:unhideWhenUsed/>
    <w:qFormat/>
    <w:rsid w:val="008061B0"/>
    <w:pPr>
      <w:spacing w:line="240" w:lineRule="auto"/>
      <w:outlineLvl w:val="1"/>
    </w:pPr>
    <w:rPr>
      <w:color w:val="004F6B"/>
      <w:sz w:val="28"/>
      <w:szCs w:val="28"/>
    </w:rPr>
  </w:style>
  <w:style w:type="paragraph" w:styleId="Heading3">
    <w:name w:val="heading 3"/>
    <w:basedOn w:val="Normal"/>
    <w:next w:val="Normal"/>
    <w:link w:val="Heading3Char"/>
    <w:uiPriority w:val="9"/>
    <w:unhideWhenUsed/>
    <w:qFormat/>
    <w:rsid w:val="008061B0"/>
    <w:pPr>
      <w:outlineLvl w:val="2"/>
    </w:pPr>
    <w:rPr>
      <w:color w:val="004F6B"/>
      <w:sz w:val="28"/>
      <w:szCs w:val="28"/>
    </w:rPr>
  </w:style>
  <w:style w:type="paragraph" w:styleId="Heading4">
    <w:name w:val="heading 4"/>
    <w:basedOn w:val="Heading3"/>
    <w:next w:val="Normal"/>
    <w:link w:val="Heading4Char"/>
    <w:uiPriority w:val="9"/>
    <w:unhideWhenUsed/>
    <w:qFormat/>
    <w:rsid w:val="008061B0"/>
    <w:pPr>
      <w:outlineLvl w:val="3"/>
    </w:pPr>
    <w:rPr>
      <w:sz w:val="24"/>
      <w:szCs w:val="24"/>
    </w:rPr>
  </w:style>
  <w:style w:type="paragraph" w:styleId="Heading5">
    <w:name w:val="heading 5"/>
    <w:basedOn w:val="Normal"/>
    <w:next w:val="Normal"/>
    <w:link w:val="Heading5Char"/>
    <w:uiPriority w:val="9"/>
    <w:unhideWhenUsed/>
    <w:qFormat/>
    <w:rsid w:val="00F21470"/>
    <w:pPr>
      <w:spacing w:after="0" w:line="240" w:lineRule="auto"/>
      <w:outlineLvl w:val="4"/>
    </w:pPr>
    <w:rPr>
      <w:color w:val="004F6B"/>
      <w:sz w:val="22"/>
      <w:szCs w:val="22"/>
    </w:rPr>
  </w:style>
  <w:style w:type="paragraph" w:styleId="Heading6">
    <w:name w:val="heading 6"/>
    <w:basedOn w:val="Normal"/>
    <w:next w:val="Normal"/>
    <w:link w:val="Heading6Char"/>
    <w:uiPriority w:val="9"/>
    <w:semiHidden/>
    <w:unhideWhenUsed/>
    <w:qFormat/>
    <w:rsid w:val="008061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61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61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61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660"/>
    <w:rPr>
      <w:rFonts w:ascii="Poppins" w:hAnsi="Poppins"/>
      <w:color w:val="A81563"/>
      <w:sz w:val="20"/>
      <w:u w:val="single"/>
    </w:rPr>
  </w:style>
  <w:style w:type="character" w:customStyle="1" w:styleId="Heading1Char">
    <w:name w:val="Heading 1 Char"/>
    <w:basedOn w:val="DefaultParagraphFont"/>
    <w:link w:val="Heading1"/>
    <w:uiPriority w:val="9"/>
    <w:rsid w:val="008061B0"/>
    <w:rPr>
      <w:rFonts w:eastAsia="Poppins"/>
      <w:color w:val="004F6B"/>
      <w:kern w:val="0"/>
      <w:sz w:val="32"/>
      <w:szCs w:val="32"/>
      <w:lang w:eastAsia="ja-JP"/>
      <w14:ligatures w14:val="none"/>
    </w:rPr>
  </w:style>
  <w:style w:type="character" w:customStyle="1" w:styleId="Heading2Char">
    <w:name w:val="Heading 2 Char"/>
    <w:basedOn w:val="DefaultParagraphFont"/>
    <w:link w:val="Heading2"/>
    <w:uiPriority w:val="9"/>
    <w:rsid w:val="008061B0"/>
    <w:rPr>
      <w:rFonts w:eastAsia="Poppins"/>
      <w:color w:val="004F6B"/>
      <w:kern w:val="0"/>
      <w:sz w:val="28"/>
      <w:szCs w:val="28"/>
      <w:lang w:eastAsia="ja-JP"/>
      <w14:ligatures w14:val="none"/>
    </w:rPr>
  </w:style>
  <w:style w:type="character" w:customStyle="1" w:styleId="Heading3Char">
    <w:name w:val="Heading 3 Char"/>
    <w:basedOn w:val="DefaultParagraphFont"/>
    <w:link w:val="Heading3"/>
    <w:uiPriority w:val="9"/>
    <w:rsid w:val="008061B0"/>
    <w:rPr>
      <w:rFonts w:eastAsia="Poppins"/>
      <w:color w:val="004F6B"/>
      <w:kern w:val="0"/>
      <w:sz w:val="28"/>
      <w:szCs w:val="28"/>
      <w:lang w:eastAsia="ja-JP"/>
      <w14:ligatures w14:val="none"/>
    </w:rPr>
  </w:style>
  <w:style w:type="character" w:customStyle="1" w:styleId="Heading4Char">
    <w:name w:val="Heading 4 Char"/>
    <w:basedOn w:val="DefaultParagraphFont"/>
    <w:link w:val="Heading4"/>
    <w:uiPriority w:val="9"/>
    <w:rsid w:val="008061B0"/>
    <w:rPr>
      <w:rFonts w:eastAsia="Poppins"/>
      <w:color w:val="004F6B"/>
      <w:kern w:val="0"/>
      <w:sz w:val="24"/>
      <w:szCs w:val="24"/>
      <w:lang w:eastAsia="ja-JP"/>
      <w14:ligatures w14:val="none"/>
    </w:rPr>
  </w:style>
  <w:style w:type="character" w:customStyle="1" w:styleId="Heading5Char">
    <w:name w:val="Heading 5 Char"/>
    <w:basedOn w:val="DefaultParagraphFont"/>
    <w:link w:val="Heading5"/>
    <w:uiPriority w:val="9"/>
    <w:rsid w:val="00F21470"/>
    <w:rPr>
      <w:rFonts w:eastAsia="Poppins"/>
      <w:color w:val="004F6B"/>
      <w:kern w:val="0"/>
      <w:sz w:val="22"/>
      <w:szCs w:val="22"/>
      <w:lang w:eastAsia="ja-JP"/>
      <w14:ligatures w14:val="none"/>
    </w:rPr>
  </w:style>
  <w:style w:type="character" w:customStyle="1" w:styleId="Heading6Char">
    <w:name w:val="Heading 6 Char"/>
    <w:basedOn w:val="DefaultParagraphFont"/>
    <w:link w:val="Heading6"/>
    <w:uiPriority w:val="9"/>
    <w:semiHidden/>
    <w:rsid w:val="008061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61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61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61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61B0"/>
    <w:pPr>
      <w:spacing w:line="240" w:lineRule="auto"/>
    </w:pPr>
    <w:rPr>
      <w:color w:val="004F6B"/>
      <w:sz w:val="40"/>
      <w:szCs w:val="40"/>
    </w:rPr>
  </w:style>
  <w:style w:type="character" w:customStyle="1" w:styleId="TitleChar">
    <w:name w:val="Title Char"/>
    <w:basedOn w:val="DefaultParagraphFont"/>
    <w:link w:val="Title"/>
    <w:uiPriority w:val="10"/>
    <w:rsid w:val="008061B0"/>
    <w:rPr>
      <w:rFonts w:eastAsia="Poppins"/>
      <w:color w:val="004F6B"/>
      <w:kern w:val="0"/>
      <w:sz w:val="40"/>
      <w:szCs w:val="40"/>
      <w:lang w:eastAsia="ja-JP"/>
      <w14:ligatures w14:val="none"/>
    </w:rPr>
  </w:style>
  <w:style w:type="paragraph" w:styleId="Subtitle">
    <w:name w:val="Subtitle"/>
    <w:basedOn w:val="Normal"/>
    <w:next w:val="Normal"/>
    <w:link w:val="SubtitleChar"/>
    <w:uiPriority w:val="11"/>
    <w:qFormat/>
    <w:rsid w:val="008061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1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61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1B0"/>
    <w:rPr>
      <w:i/>
      <w:iCs/>
      <w:color w:val="404040" w:themeColor="text1" w:themeTint="BF"/>
    </w:rPr>
  </w:style>
  <w:style w:type="paragraph" w:styleId="ListParagraph">
    <w:name w:val="List Paragraph"/>
    <w:basedOn w:val="Normal"/>
    <w:uiPriority w:val="34"/>
    <w:qFormat/>
    <w:rsid w:val="008061B0"/>
    <w:pPr>
      <w:ind w:left="720"/>
      <w:contextualSpacing/>
    </w:pPr>
  </w:style>
  <w:style w:type="character" w:styleId="IntenseEmphasis">
    <w:name w:val="Intense Emphasis"/>
    <w:basedOn w:val="DefaultParagraphFont"/>
    <w:uiPriority w:val="21"/>
    <w:qFormat/>
    <w:rsid w:val="008061B0"/>
    <w:rPr>
      <w:i/>
      <w:iCs/>
      <w:color w:val="0F4761" w:themeColor="accent1" w:themeShade="BF"/>
    </w:rPr>
  </w:style>
  <w:style w:type="paragraph" w:styleId="IntenseQuote">
    <w:name w:val="Intense Quote"/>
    <w:basedOn w:val="Normal"/>
    <w:next w:val="Normal"/>
    <w:link w:val="IntenseQuoteChar"/>
    <w:uiPriority w:val="30"/>
    <w:qFormat/>
    <w:rsid w:val="00806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1B0"/>
    <w:rPr>
      <w:i/>
      <w:iCs/>
      <w:color w:val="0F4761" w:themeColor="accent1" w:themeShade="BF"/>
    </w:rPr>
  </w:style>
  <w:style w:type="character" w:styleId="IntenseReference">
    <w:name w:val="Intense Reference"/>
    <w:basedOn w:val="DefaultParagraphFont"/>
    <w:uiPriority w:val="32"/>
    <w:qFormat/>
    <w:rsid w:val="008061B0"/>
    <w:rPr>
      <w:b/>
      <w:bCs/>
      <w:smallCaps/>
      <w:color w:val="0F4761" w:themeColor="accent1" w:themeShade="BF"/>
      <w:spacing w:val="5"/>
    </w:rPr>
  </w:style>
  <w:style w:type="table" w:styleId="GridTable4-Accent1">
    <w:name w:val="Grid Table 4 Accent 1"/>
    <w:basedOn w:val="TableNormal"/>
    <w:uiPriority w:val="49"/>
    <w:rsid w:val="008061B0"/>
    <w:pPr>
      <w:spacing w:after="0" w:line="240" w:lineRule="auto"/>
    </w:pPr>
    <w:rPr>
      <w:rFonts w:asciiTheme="minorHAnsi" w:eastAsiaTheme="minorEastAsia" w:hAnsiTheme="minorHAnsi" w:cstheme="minorBidi"/>
      <w:kern w:val="0"/>
      <w:sz w:val="24"/>
      <w:szCs w:val="24"/>
      <w:lang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F21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70"/>
    <w:rPr>
      <w:rFonts w:eastAsia="Poppins"/>
      <w:color w:val="0E2740"/>
      <w:kern w:val="0"/>
      <w:lang w:eastAsia="ja-JP"/>
      <w14:ligatures w14:val="none"/>
    </w:rPr>
  </w:style>
  <w:style w:type="paragraph" w:styleId="Footer">
    <w:name w:val="footer"/>
    <w:basedOn w:val="Normal"/>
    <w:link w:val="FooterChar"/>
    <w:uiPriority w:val="99"/>
    <w:unhideWhenUsed/>
    <w:rsid w:val="00F21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70"/>
    <w:rPr>
      <w:rFonts w:eastAsia="Poppins"/>
      <w:color w:val="0E274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6639056569be0acf74db89/fit-for-the-future-10-year-health-plan-for-england-executive-summary.pdf" TargetMode="External"/><Relationship Id="rId3" Type="http://schemas.openxmlformats.org/officeDocument/2006/relationships/webSettings" Target="webSettings.xml"/><Relationship Id="rId7" Type="http://schemas.openxmlformats.org/officeDocument/2006/relationships/hyperlink" Target="mailto:digitalsupport.wakefield@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news/articles/cvg1vjdx9pe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Watkiss</dc:creator>
  <cp:keywords/>
  <dc:description/>
  <cp:lastModifiedBy>Helen Watkiss</cp:lastModifiedBy>
  <cp:revision>2</cp:revision>
  <dcterms:created xsi:type="dcterms:W3CDTF">2025-10-14T09:01:00Z</dcterms:created>
  <dcterms:modified xsi:type="dcterms:W3CDTF">2025-10-15T14:26:00Z</dcterms:modified>
</cp:coreProperties>
</file>